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497" w:rsidRDefault="00131497" w:rsidP="00704ABF">
      <w:pPr>
        <w:spacing w:line="480" w:lineRule="auto"/>
        <w:rPr>
          <w:rFonts w:ascii="Times New Roman" w:hAnsi="Times New Roman" w:cs="Times New Roman"/>
          <w:b/>
          <w:sz w:val="24"/>
          <w:szCs w:val="24"/>
          <w:shd w:val="clear" w:color="auto" w:fill="FFFFFF"/>
        </w:rPr>
      </w:pPr>
      <w:bookmarkStart w:id="0" w:name="_GoBack"/>
      <w:bookmarkEnd w:id="0"/>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131497">
      <w:pPr>
        <w:spacing w:line="480" w:lineRule="auto"/>
        <w:jc w:val="center"/>
        <w:rPr>
          <w:rFonts w:ascii="Times New Roman" w:hAnsi="Times New Roman" w:cs="Times New Roman"/>
          <w:sz w:val="24"/>
          <w:szCs w:val="24"/>
        </w:rPr>
      </w:pPr>
    </w:p>
    <w:p w:rsidR="00131497" w:rsidRDefault="00131497" w:rsidP="00131497">
      <w:pPr>
        <w:spacing w:line="480" w:lineRule="auto"/>
        <w:jc w:val="center"/>
        <w:rPr>
          <w:rFonts w:ascii="Times New Roman" w:hAnsi="Times New Roman" w:cs="Times New Roman"/>
          <w:sz w:val="24"/>
          <w:szCs w:val="24"/>
        </w:rPr>
      </w:pPr>
    </w:p>
    <w:p w:rsidR="00131497" w:rsidRDefault="00131497" w:rsidP="00131497">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S</w:t>
      </w:r>
      <w:r w:rsidRPr="00131497">
        <w:rPr>
          <w:rFonts w:ascii="Times New Roman" w:hAnsi="Times New Roman" w:cs="Times New Roman"/>
          <w:sz w:val="24"/>
          <w:szCs w:val="24"/>
        </w:rPr>
        <w:t>tatement</w:t>
      </w:r>
    </w:p>
    <w:p w:rsidR="00131497" w:rsidRDefault="00131497" w:rsidP="001314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31497" w:rsidRDefault="00131497" w:rsidP="00131497">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sz w:val="24"/>
          <w:szCs w:val="24"/>
        </w:rPr>
        <w:t>Students Name</w:t>
      </w: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Pr="00131497" w:rsidRDefault="00131497" w:rsidP="00131497">
      <w:pPr>
        <w:spacing w:line="480" w:lineRule="auto"/>
        <w:jc w:val="center"/>
        <w:rPr>
          <w:rFonts w:ascii="Times New Roman" w:hAnsi="Times New Roman" w:cs="Times New Roman"/>
          <w:sz w:val="24"/>
          <w:szCs w:val="24"/>
        </w:rPr>
      </w:pPr>
      <w:r>
        <w:rPr>
          <w:rFonts w:ascii="Times New Roman" w:hAnsi="Times New Roman" w:cs="Times New Roman"/>
          <w:b/>
          <w:sz w:val="24"/>
          <w:szCs w:val="24"/>
          <w:shd w:val="clear" w:color="auto" w:fill="FFFFFF"/>
        </w:rPr>
        <w:lastRenderedPageBreak/>
        <w:tab/>
      </w:r>
      <w:r>
        <w:rPr>
          <w:rFonts w:ascii="Times New Roman" w:hAnsi="Times New Roman" w:cs="Times New Roman"/>
          <w:sz w:val="24"/>
          <w:szCs w:val="24"/>
        </w:rPr>
        <w:t>Financial S</w:t>
      </w:r>
      <w:r w:rsidRPr="00131497">
        <w:rPr>
          <w:rFonts w:ascii="Times New Roman" w:hAnsi="Times New Roman" w:cs="Times New Roman"/>
          <w:sz w:val="24"/>
          <w:szCs w:val="24"/>
        </w:rPr>
        <w:t>tatement</w:t>
      </w:r>
    </w:p>
    <w:p w:rsidR="00704ABF" w:rsidRPr="00704ABF"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704ABF">
        <w:rPr>
          <w:rFonts w:ascii="Times New Roman" w:hAnsi="Times New Roman" w:cs="Times New Roman"/>
          <w:b/>
          <w:sz w:val="24"/>
          <w:szCs w:val="24"/>
          <w:shd w:val="clear" w:color="auto" w:fill="FFFFFF"/>
        </w:rPr>
        <w:t>Resent and describe the components of the balance sheet. Use illustrative numerical examples to clarify the discussion</w:t>
      </w:r>
    </w:p>
    <w:p w:rsidR="007D2006" w:rsidRPr="00704ABF" w:rsidRDefault="007D2006" w:rsidP="00704ABF">
      <w:pPr>
        <w:pStyle w:val="NormalWeb"/>
        <w:spacing w:before="0" w:beforeAutospacing="0" w:after="0" w:afterAutospacing="0" w:line="480" w:lineRule="auto"/>
        <w:ind w:firstLine="360"/>
      </w:pPr>
      <w:r w:rsidRPr="00704ABF">
        <w:t>Nerdy Company is assumed to be operational in this paper. This company will be used to explain the components of the balance sheet in detail. </w:t>
      </w:r>
    </w:p>
    <w:p w:rsidR="007D2006" w:rsidRPr="00704ABF" w:rsidRDefault="007D2006" w:rsidP="00704ABF">
      <w:pPr>
        <w:pStyle w:val="NormalWeb"/>
        <w:spacing w:before="0" w:beforeAutospacing="0" w:after="0" w:afterAutospacing="0" w:line="480" w:lineRule="auto"/>
        <w:ind w:firstLine="360"/>
      </w:pPr>
      <w:r w:rsidRPr="00704ABF">
        <w:t>One of the major components of a balance sheet is the heading. This is a very important component because it makes the balance sheet unique by identifying the name of the company the balance sheet belongs, the type of the statement to follow and most importantly the date at which each account value applies</w:t>
      </w:r>
      <w:sdt>
        <w:sdtPr>
          <w:id w:val="-554690485"/>
          <w:citation/>
        </w:sdtPr>
        <w:sdtEndPr/>
        <w:sdtContent>
          <w:r w:rsidRPr="00704ABF">
            <w:fldChar w:fldCharType="begin"/>
          </w:r>
          <w:r w:rsidRPr="00704ABF">
            <w:instrText xml:space="preserve"> CITATION DiT17 \l 1033 </w:instrText>
          </w:r>
          <w:r w:rsidRPr="00704ABF">
            <w:fldChar w:fldCharType="separate"/>
          </w:r>
          <w:r w:rsidRPr="00704ABF">
            <w:rPr>
              <w:noProof/>
            </w:rPr>
            <w:t xml:space="preserve"> (Di Tella , 2017)</w:t>
          </w:r>
          <w:r w:rsidRPr="00704ABF">
            <w:fldChar w:fldCharType="end"/>
          </w:r>
        </w:sdtContent>
      </w:sdt>
      <w:r w:rsidRPr="00704ABF">
        <w:t>. A good example of a balance sheet heading looks like; </w:t>
      </w:r>
    </w:p>
    <w:p w:rsidR="007D2006" w:rsidRPr="00704ABF" w:rsidRDefault="007D2006" w:rsidP="00704ABF">
      <w:pPr>
        <w:pStyle w:val="NormalWeb"/>
        <w:spacing w:before="0" w:beforeAutospacing="0" w:after="0" w:afterAutospacing="0" w:line="480" w:lineRule="auto"/>
      </w:pPr>
      <w:r w:rsidRPr="00704ABF">
        <w:rPr>
          <w:rStyle w:val="Strong"/>
          <w:b w:val="0"/>
        </w:rPr>
        <w:t>THE NERDY COMPANY</w:t>
      </w:r>
    </w:p>
    <w:p w:rsidR="007D2006" w:rsidRPr="00704ABF" w:rsidRDefault="007D2006" w:rsidP="00704ABF">
      <w:pPr>
        <w:pStyle w:val="NormalWeb"/>
        <w:spacing w:before="0" w:beforeAutospacing="0" w:after="0" w:afterAutospacing="0" w:line="480" w:lineRule="auto"/>
      </w:pPr>
      <w:r w:rsidRPr="00704ABF">
        <w:t> </w:t>
      </w:r>
      <w:r w:rsidRPr="00704ABF">
        <w:rPr>
          <w:rStyle w:val="Strong"/>
          <w:b w:val="0"/>
        </w:rPr>
        <w:t>BALANCE SHEET</w:t>
      </w:r>
    </w:p>
    <w:p w:rsidR="007D2006" w:rsidRPr="00704ABF" w:rsidRDefault="007D2006" w:rsidP="00704ABF">
      <w:pPr>
        <w:pStyle w:val="NormalWeb"/>
        <w:spacing w:before="0" w:beforeAutospacing="0" w:after="0" w:afterAutospacing="0" w:line="480" w:lineRule="auto"/>
      </w:pPr>
      <w:r w:rsidRPr="00704ABF">
        <w:t> </w:t>
      </w:r>
      <w:r w:rsidRPr="00704ABF">
        <w:rPr>
          <w:rStyle w:val="Strong"/>
          <w:b w:val="0"/>
        </w:rPr>
        <w:t>AS of D</w:t>
      </w:r>
      <w:r w:rsidR="00704ABF" w:rsidRPr="00704ABF">
        <w:rPr>
          <w:rStyle w:val="Strong"/>
          <w:b w:val="0"/>
        </w:rPr>
        <w:t>ECEMBE</w:t>
      </w:r>
      <w:r w:rsidR="00704ABF">
        <w:rPr>
          <w:rStyle w:val="Strong"/>
          <w:b w:val="0"/>
        </w:rPr>
        <w:t>R</w:t>
      </w:r>
      <w:r w:rsidRPr="00704ABF">
        <w:rPr>
          <w:rStyle w:val="Strong"/>
          <w:b w:val="0"/>
        </w:rPr>
        <w:t xml:space="preserve"> 20, 2019</w:t>
      </w:r>
    </w:p>
    <w:p w:rsidR="007D2006" w:rsidRPr="00704ABF" w:rsidRDefault="007D2006" w:rsidP="00704ABF">
      <w:pPr>
        <w:pStyle w:val="NormalWeb"/>
        <w:spacing w:before="0" w:beforeAutospacing="0" w:after="0" w:afterAutospacing="0" w:line="480" w:lineRule="auto"/>
        <w:ind w:firstLine="720"/>
      </w:pPr>
      <w:r w:rsidRPr="00704ABF">
        <w:rPr>
          <w:rStyle w:val="Strong"/>
          <w:b w:val="0"/>
        </w:rPr>
        <w:t xml:space="preserve">From the heading above, it’s evident that the company is called THE NERDY </w:t>
      </w:r>
      <w:proofErr w:type="gramStart"/>
      <w:r w:rsidRPr="00704ABF">
        <w:rPr>
          <w:rStyle w:val="Strong"/>
          <w:b w:val="0"/>
        </w:rPr>
        <w:t>COMPANY,</w:t>
      </w:r>
      <w:proofErr w:type="gramEnd"/>
      <w:r w:rsidRPr="00704ABF">
        <w:rPr>
          <w:rStyle w:val="Strong"/>
          <w:b w:val="0"/>
        </w:rPr>
        <w:t xml:space="preserve"> the statement is a balance sheet while the date is “As of December 2019”. The date </w:t>
      </w:r>
      <w:proofErr w:type="gramStart"/>
      <w:r w:rsidRPr="00704ABF">
        <w:rPr>
          <w:rStyle w:val="Strong"/>
          <w:b w:val="0"/>
        </w:rPr>
        <w:t>is</w:t>
      </w:r>
      <w:proofErr w:type="gramEnd"/>
      <w:r w:rsidRPr="00704ABF">
        <w:rPr>
          <w:rStyle w:val="Strong"/>
          <w:b w:val="0"/>
        </w:rPr>
        <w:t xml:space="preserve"> very significant because it indicates the time at which the values of the account apply. </w:t>
      </w:r>
    </w:p>
    <w:p w:rsidR="007D2006" w:rsidRPr="00704ABF" w:rsidRDefault="007D2006" w:rsidP="00131497">
      <w:pPr>
        <w:pStyle w:val="NormalWeb"/>
        <w:spacing w:before="0" w:beforeAutospacing="0" w:after="0" w:afterAutospacing="0" w:line="480" w:lineRule="auto"/>
        <w:ind w:firstLine="720"/>
      </w:pPr>
      <w:r w:rsidRPr="00704ABF">
        <w:t>Another component is assets which are resources that a company depends on to grow economically. Assets are classified as either current or fixed. Current assets comprise of resources in the company that is expected to be converted into cash within one year</w:t>
      </w:r>
      <w:sdt>
        <w:sdtPr>
          <w:id w:val="-727144301"/>
          <w:citation/>
        </w:sdtPr>
        <w:sdtEndPr/>
        <w:sdtContent>
          <w:r w:rsidRPr="00704ABF">
            <w:fldChar w:fldCharType="begin"/>
          </w:r>
          <w:r w:rsidRPr="00704ABF">
            <w:instrText xml:space="preserve"> CITATION Kah20 \l 1033 </w:instrText>
          </w:r>
          <w:r w:rsidRPr="00704ABF">
            <w:fldChar w:fldCharType="separate"/>
          </w:r>
          <w:r w:rsidRPr="00704ABF">
            <w:rPr>
              <w:noProof/>
            </w:rPr>
            <w:t xml:space="preserve"> (Kahn &amp; Baum, 2020)</w:t>
          </w:r>
          <w:r w:rsidRPr="00704ABF">
            <w:fldChar w:fldCharType="end"/>
          </w:r>
        </w:sdtContent>
      </w:sdt>
      <w:r w:rsidRPr="00704ABF">
        <w:t xml:space="preserve">. These resources include cash which is the amount of money that the company has its account that it uses to pay his bills in order to maintain the smooth running of daily activities. From the table below, the cash of Nerdy Company is $10, 122 as of October 20, 2019. Accounts receivable is another resource that belongs to the current asset and it entails the promises given </w:t>
      </w:r>
      <w:r w:rsidRPr="00704ABF">
        <w:lastRenderedPageBreak/>
        <w:t>by customers to pay goods and services at a later date</w:t>
      </w:r>
      <w:sdt>
        <w:sdtPr>
          <w:id w:val="-203410430"/>
          <w:citation/>
        </w:sdtPr>
        <w:sdtEndPr/>
        <w:sdtContent>
          <w:r w:rsidRPr="00704ABF">
            <w:fldChar w:fldCharType="begin"/>
          </w:r>
          <w:r w:rsidRPr="00704ABF">
            <w:instrText xml:space="preserve"> CITATION McC171 \l 1033 </w:instrText>
          </w:r>
          <w:r w:rsidRPr="00704ABF">
            <w:fldChar w:fldCharType="separate"/>
          </w:r>
          <w:r w:rsidRPr="00704ABF">
            <w:rPr>
              <w:noProof/>
            </w:rPr>
            <w:t xml:space="preserve"> (McCall , 2017)</w:t>
          </w:r>
          <w:r w:rsidRPr="00704ABF">
            <w:fldChar w:fldCharType="end"/>
          </w:r>
        </w:sdtContent>
      </w:sdt>
      <w:r w:rsidRPr="00704ABF">
        <w:t>. From the table, Nerdy company $5000 outstanding in accounts receivable which means that the company customers purchased products worth $5000 as of December 20 and have not paid for them. The third resource is prepaid items which comprise of items that a business pays in advance, for exampl</w:t>
      </w:r>
      <w:r w:rsidR="00704ABF" w:rsidRPr="00704ABF">
        <w:t>e, prepaid insurance</w:t>
      </w:r>
      <w:sdt>
        <w:sdtPr>
          <w:id w:val="1329405435"/>
          <w:citation/>
        </w:sdtPr>
        <w:sdtEndPr/>
        <w:sdtContent>
          <w:r w:rsidR="00704ABF" w:rsidRPr="00704ABF">
            <w:fldChar w:fldCharType="begin"/>
          </w:r>
          <w:r w:rsidR="00704ABF" w:rsidRPr="00704ABF">
            <w:instrText xml:space="preserve"> CITATION DiT17 \l 1033 </w:instrText>
          </w:r>
          <w:r w:rsidR="00704ABF" w:rsidRPr="00704ABF">
            <w:fldChar w:fldCharType="separate"/>
          </w:r>
          <w:r w:rsidR="00704ABF" w:rsidRPr="00704ABF">
            <w:rPr>
              <w:noProof/>
            </w:rPr>
            <w:t xml:space="preserve"> (Di Tella , 2017)</w:t>
          </w:r>
          <w:r w:rsidR="00704ABF" w:rsidRPr="00704ABF">
            <w:fldChar w:fldCharType="end"/>
          </w:r>
        </w:sdtContent>
      </w:sdt>
      <w:r w:rsidR="00704ABF" w:rsidRPr="00704ABF">
        <w:t>.</w:t>
      </w:r>
      <w:r w:rsidRPr="00704ABF">
        <w:t xml:space="preserve"> Nerdy Company purchased fire insurance on its building on July 1 and the insurance company quoted a yearly rate of $2400 as well as requesting a one-year payment to be made in advance. Since $2400 paid will protect the company for a year, the prepaid section of the company’s balance sheet will read $1200 because six months will have elapsed. Lastly, it’s the inventory which is the products that a company produces and sells </w:t>
      </w:r>
      <w:r w:rsidR="00704ABF" w:rsidRPr="00704ABF">
        <w:t>to consumers directly</w:t>
      </w:r>
      <w:sdt>
        <w:sdtPr>
          <w:id w:val="-1380084645"/>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For example, Nerdy Company is a retail company that buys then sells products to the consumer. As of 20th December, Nerdy Company had finished products on hand valued at $12558.  </w:t>
      </w:r>
    </w:p>
    <w:p w:rsidR="007D2006" w:rsidRPr="007D2006" w:rsidRDefault="007D2006" w:rsidP="00704ABF">
      <w:pPr>
        <w:spacing w:line="480" w:lineRule="auto"/>
        <w:jc w:val="center"/>
        <w:rPr>
          <w:rFonts w:ascii="Times New Roman" w:hAnsi="Times New Roman" w:cs="Times New Roman"/>
          <w:sz w:val="24"/>
          <w:szCs w:val="24"/>
        </w:rPr>
      </w:pPr>
      <w:r w:rsidRPr="007D2006">
        <w:rPr>
          <w:rFonts w:ascii="Times New Roman" w:hAnsi="Times New Roman" w:cs="Times New Roman"/>
          <w:sz w:val="24"/>
          <w:szCs w:val="24"/>
        </w:rPr>
        <w:t>Total assets</w:t>
      </w:r>
    </w:p>
    <w:tbl>
      <w:tblPr>
        <w:tblStyle w:val="TableGrid"/>
        <w:tblW w:w="0" w:type="auto"/>
        <w:tblLook w:val="04A0" w:firstRow="1" w:lastRow="0" w:firstColumn="1" w:lastColumn="0" w:noHBand="0" w:noVBand="1"/>
      </w:tblPr>
      <w:tblGrid>
        <w:gridCol w:w="4675"/>
        <w:gridCol w:w="4675"/>
      </w:tblGrid>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Current assets</w:t>
            </w:r>
          </w:p>
        </w:tc>
        <w:tc>
          <w:tcPr>
            <w:tcW w:w="4675" w:type="dxa"/>
          </w:tcPr>
          <w:p w:rsidR="007D2006" w:rsidRPr="007D2006" w:rsidRDefault="007D2006" w:rsidP="00704ABF">
            <w:pPr>
              <w:spacing w:line="480" w:lineRule="auto"/>
              <w:rPr>
                <w:rFonts w:ascii="Times New Roman" w:hAnsi="Times New Roman" w:cs="Times New Roman"/>
                <w:sz w:val="24"/>
                <w:szCs w:val="24"/>
              </w:rPr>
            </w:pP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 xml:space="preserve">Cash </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$10122</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 xml:space="preserve">Accounts receivable </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$5000</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Prepaid fire insurance</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$1200</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 xml:space="preserve">Inventory </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$12558</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Total current assets</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$28 880</w:t>
            </w:r>
          </w:p>
        </w:tc>
      </w:tr>
    </w:tbl>
    <w:p w:rsidR="007D2006" w:rsidRPr="00704ABF" w:rsidRDefault="007D2006" w:rsidP="00704ABF">
      <w:pPr>
        <w:pStyle w:val="NormalWeb"/>
        <w:spacing w:before="0" w:beforeAutospacing="0" w:after="0" w:afterAutospacing="0" w:line="480" w:lineRule="auto"/>
        <w:ind w:firstLine="720"/>
      </w:pPr>
      <w:r w:rsidRPr="00704ABF">
        <w:t>The second category of assets is fixed assets which are resources of economic importance in the company that has long lives bef</w:t>
      </w:r>
      <w:r w:rsidR="00704ABF" w:rsidRPr="00704ABF">
        <w:t>ore they are consumed</w:t>
      </w:r>
      <w:sdt>
        <w:sdtPr>
          <w:id w:val="1830086623"/>
          <w:citation/>
        </w:sdtPr>
        <w:sdtEndPr/>
        <w:sdtContent>
          <w:r w:rsidR="00704ABF" w:rsidRPr="00704ABF">
            <w:fldChar w:fldCharType="begin"/>
          </w:r>
          <w:r w:rsidR="00704ABF" w:rsidRPr="00704ABF">
            <w:instrText xml:space="preserve"> CITATION Kah20 \l 1033 </w:instrText>
          </w:r>
          <w:r w:rsidR="00704ABF" w:rsidRPr="00704ABF">
            <w:fldChar w:fldCharType="separate"/>
          </w:r>
          <w:r w:rsidR="00704ABF" w:rsidRPr="00704ABF">
            <w:rPr>
              <w:noProof/>
            </w:rPr>
            <w:t xml:space="preserve"> (Kahn &amp; Baum, 2020)</w:t>
          </w:r>
          <w:r w:rsidR="00704ABF" w:rsidRPr="00704ABF">
            <w:fldChar w:fldCharType="end"/>
          </w:r>
        </w:sdtContent>
      </w:sdt>
      <w:r w:rsidRPr="00704ABF">
        <w:t xml:space="preserve">. In Nerdy Company, fixed assets include the office equipment and the building. From the company’s fixed section, Nerdy Company bought two computers at $4 400, a mobile photocopier at $ 7800 and a </w:t>
      </w:r>
      <w:r w:rsidRPr="00704ABF">
        <w:lastRenderedPageBreak/>
        <w:t>fax machine for $300 which sums up to $12500 of office equipment. Similarly, the company utilized $22500 for building.</w:t>
      </w:r>
    </w:p>
    <w:p w:rsidR="007D2006" w:rsidRPr="00704ABF" w:rsidRDefault="007D2006" w:rsidP="00704ABF">
      <w:pPr>
        <w:pStyle w:val="NormalWeb"/>
        <w:spacing w:before="0" w:beforeAutospacing="0" w:after="0" w:afterAutospacing="0" w:line="480" w:lineRule="auto"/>
        <w:ind w:firstLine="720"/>
      </w:pPr>
      <w:r w:rsidRPr="00704ABF">
        <w:t xml:space="preserve">The third component is </w:t>
      </w:r>
      <w:proofErr w:type="gramStart"/>
      <w:r w:rsidRPr="00704ABF">
        <w:t>liabilities which refers</w:t>
      </w:r>
      <w:proofErr w:type="gramEnd"/>
      <w:r w:rsidRPr="00704ABF">
        <w:t xml:space="preserve"> to the items that a business owes other businesses and they are classified as current and </w:t>
      </w:r>
      <w:r w:rsidR="00704ABF" w:rsidRPr="00704ABF">
        <w:t>long term liabilities</w:t>
      </w:r>
      <w:sdt>
        <w:sdtPr>
          <w:id w:val="986130472"/>
          <w:citation/>
        </w:sdtPr>
        <w:sdtEndPr/>
        <w:sdtContent>
          <w:r w:rsidR="00704ABF" w:rsidRPr="00704ABF">
            <w:fldChar w:fldCharType="begin"/>
          </w:r>
          <w:r w:rsidR="00704ABF" w:rsidRPr="00704ABF">
            <w:instrText xml:space="preserve"> CITATION Smi17 \l 1033 </w:instrText>
          </w:r>
          <w:r w:rsidR="00704ABF" w:rsidRPr="00704ABF">
            <w:fldChar w:fldCharType="separate"/>
          </w:r>
          <w:r w:rsidR="00704ABF" w:rsidRPr="00704ABF">
            <w:rPr>
              <w:noProof/>
            </w:rPr>
            <w:t xml:space="preserve"> (Smith, 2017)</w:t>
          </w:r>
          <w:r w:rsidR="00704ABF" w:rsidRPr="00704ABF">
            <w:fldChar w:fldCharType="end"/>
          </w:r>
        </w:sdtContent>
      </w:sdt>
      <w:r w:rsidRPr="00704ABF">
        <w:t>. Current liabilities are due in a short period of time, for example, as of 20 December 2019, Nerdy Company owes $12 254 for office equipment and supplies. Long-term liabilities are due in the long term period, for example, Nerdy Company in 2019 received a </w:t>
      </w:r>
      <w:r w:rsidRPr="00704ABF">
        <w:rPr>
          <w:rStyle w:val="Strong"/>
          <w:b w:val="0"/>
        </w:rPr>
        <w:t>10 year, $22,500 loan</w:t>
      </w:r>
      <w:r w:rsidRPr="00704ABF">
        <w:t>.</w:t>
      </w:r>
    </w:p>
    <w:p w:rsidR="007D2006" w:rsidRPr="00704ABF" w:rsidRDefault="007D2006" w:rsidP="00704ABF">
      <w:pPr>
        <w:pStyle w:val="NormalWeb"/>
        <w:spacing w:before="0" w:beforeAutospacing="0" w:after="0" w:afterAutospacing="0" w:line="480" w:lineRule="auto"/>
      </w:pPr>
      <w:r w:rsidRPr="00704ABF">
        <w:t>The fourth component is the equity which comprises of all the investments made into the company. For example, Nerdy is a sole proprietor business and the owner invested his life savings of $10000 into the business. </w:t>
      </w:r>
    </w:p>
    <w:p w:rsidR="00704ABF" w:rsidRPr="00131497"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Highlight what you feel are the four most important accounting methods used for the development of this statement.</w:t>
      </w:r>
    </w:p>
    <w:p w:rsidR="007D2006" w:rsidRPr="00704ABF" w:rsidRDefault="007D2006" w:rsidP="00704ABF">
      <w:pPr>
        <w:pStyle w:val="NormalWeb"/>
        <w:spacing w:before="0" w:beforeAutospacing="0" w:after="0" w:afterAutospacing="0" w:line="480" w:lineRule="auto"/>
        <w:ind w:firstLine="360"/>
      </w:pPr>
      <w:r w:rsidRPr="00704ABF">
        <w:t xml:space="preserve">One of the accounting </w:t>
      </w:r>
      <w:proofErr w:type="gramStart"/>
      <w:r w:rsidRPr="00704ABF">
        <w:t>method</w:t>
      </w:r>
      <w:proofErr w:type="gramEnd"/>
      <w:r w:rsidRPr="00704ABF">
        <w:t xml:space="preserve"> that is important in the development of market basis valuation which is used to estimate the base price of the fixed asset and then capitalized expenses added to provide the value of taxable gain af</w:t>
      </w:r>
      <w:r w:rsidR="00704ABF" w:rsidRPr="00704ABF">
        <w:t>ter the asset is sold</w:t>
      </w:r>
      <w:sdt>
        <w:sdtPr>
          <w:id w:val="-1044598460"/>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This method is important in the development of the balance sheet because it describes how assets which are the main component of the balance sheet can be sold at a profit. Another method is cost basis valuation which describes the original value of an asset for tax purposes so as to deter</w:t>
      </w:r>
      <w:r w:rsidR="00704ABF" w:rsidRPr="00704ABF">
        <w:t>mine the capital gain</w:t>
      </w:r>
      <w:sdt>
        <w:sdtPr>
          <w:id w:val="-1245484032"/>
          <w:citation/>
        </w:sdtPr>
        <w:sdtEndPr/>
        <w:sdtContent>
          <w:r w:rsidR="00704ABF" w:rsidRPr="00704ABF">
            <w:fldChar w:fldCharType="begin"/>
          </w:r>
          <w:r w:rsidR="00704ABF" w:rsidRPr="00704ABF">
            <w:instrText xml:space="preserve"> CITATION McC171 \l 1033 </w:instrText>
          </w:r>
          <w:r w:rsidR="00704ABF" w:rsidRPr="00704ABF">
            <w:fldChar w:fldCharType="separate"/>
          </w:r>
          <w:r w:rsidR="00704ABF" w:rsidRPr="00704ABF">
            <w:rPr>
              <w:noProof/>
            </w:rPr>
            <w:t xml:space="preserve"> (McCall , 2017)</w:t>
          </w:r>
          <w:r w:rsidR="00704ABF" w:rsidRPr="00704ABF">
            <w:fldChar w:fldCharType="end"/>
          </w:r>
        </w:sdtContent>
      </w:sdt>
      <w:r w:rsidRPr="00704ABF">
        <w:t xml:space="preserve">. This is important because by understanding the original value of an asset, the company can forecast its demand and by extension the revenue that it’s going </w:t>
      </w:r>
      <w:proofErr w:type="gramStart"/>
      <w:r w:rsidRPr="00704ABF">
        <w:t>get</w:t>
      </w:r>
      <w:proofErr w:type="gramEnd"/>
      <w:r w:rsidRPr="00704ABF">
        <w:t xml:space="preserve"> by</w:t>
      </w:r>
      <w:r w:rsidR="00704ABF" w:rsidRPr="00704ABF">
        <w:t xml:space="preserve"> selling these assets</w:t>
      </w:r>
      <w:sdt>
        <w:sdtPr>
          <w:id w:val="233373728"/>
          <w:citation/>
        </w:sdtPr>
        <w:sdtEndPr/>
        <w:sdtContent>
          <w:r w:rsidR="00704ABF" w:rsidRPr="00704ABF">
            <w:fldChar w:fldCharType="begin"/>
          </w:r>
          <w:r w:rsidR="00704ABF" w:rsidRPr="00704ABF">
            <w:instrText xml:space="preserve"> CITATION DiT17 \l 1033 </w:instrText>
          </w:r>
          <w:r w:rsidR="00704ABF" w:rsidRPr="00704ABF">
            <w:fldChar w:fldCharType="separate"/>
          </w:r>
          <w:r w:rsidR="00704ABF" w:rsidRPr="00704ABF">
            <w:rPr>
              <w:noProof/>
            </w:rPr>
            <w:t xml:space="preserve"> (Di Tella , 2017)</w:t>
          </w:r>
          <w:r w:rsidR="00704ABF" w:rsidRPr="00704ABF">
            <w:fldChar w:fldCharType="end"/>
          </w:r>
        </w:sdtContent>
      </w:sdt>
      <w:r w:rsidRPr="00704ABF">
        <w:t xml:space="preserve">. This is important in the development of the balance sheet because it helps the company calculate its inventory. Another method is a cash basis which is a method that companies use to maintain their books and records. In the cash basis </w:t>
      </w:r>
      <w:r w:rsidRPr="00704ABF">
        <w:lastRenderedPageBreak/>
        <w:t>method, the goods and services sold are recorde</w:t>
      </w:r>
      <w:r w:rsidR="00704ABF" w:rsidRPr="00704ABF">
        <w:t>d and reported yearly</w:t>
      </w:r>
      <w:sdt>
        <w:sdtPr>
          <w:id w:val="-1448617549"/>
          <w:citation/>
        </w:sdtPr>
        <w:sdtEndPr/>
        <w:sdtContent>
          <w:r w:rsidR="00704ABF" w:rsidRPr="00704ABF">
            <w:fldChar w:fldCharType="begin"/>
          </w:r>
          <w:r w:rsidR="00704ABF" w:rsidRPr="00704ABF">
            <w:instrText xml:space="preserve"> CITATION Smi17 \l 1033 </w:instrText>
          </w:r>
          <w:r w:rsidR="00704ABF" w:rsidRPr="00704ABF">
            <w:fldChar w:fldCharType="separate"/>
          </w:r>
          <w:r w:rsidR="00704ABF" w:rsidRPr="00704ABF">
            <w:rPr>
              <w:noProof/>
            </w:rPr>
            <w:t xml:space="preserve"> (Smith, 2017)</w:t>
          </w:r>
          <w:r w:rsidR="00704ABF" w:rsidRPr="00704ABF">
            <w:fldChar w:fldCharType="end"/>
          </w:r>
        </w:sdtContent>
      </w:sdt>
      <w:r w:rsidRPr="00704ABF">
        <w:t>. The cash basis method of accounting is important in the development of the balance sheet because through it all the records that are relevant in calculating the components of a balance sheet can be accessed. The fourth method is the accrual basis which matches the revenues and the expenses of the s</w:t>
      </w:r>
      <w:r w:rsidR="00704ABF" w:rsidRPr="00704ABF">
        <w:t>ame accounting period</w:t>
      </w:r>
      <w:sdt>
        <w:sdtPr>
          <w:id w:val="1925382412"/>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The accrual basis method of accounting is important in the development of a balance sheet because it gives both the expenses and the revenue of the company which is important in calculating the assets of the company. </w:t>
      </w:r>
    </w:p>
    <w:p w:rsidR="00704ABF" w:rsidRPr="00131497" w:rsidRDefault="00704ABF" w:rsidP="00131497">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Present and describe the components of the income statement. Use illustrative numerical examples to clarify the discussion.</w:t>
      </w:r>
    </w:p>
    <w:p w:rsidR="007D2006" w:rsidRPr="00704ABF" w:rsidRDefault="007D2006" w:rsidP="00704ABF">
      <w:pPr>
        <w:pStyle w:val="NormalWeb"/>
        <w:spacing w:before="0" w:beforeAutospacing="0" w:after="0" w:afterAutospacing="0" w:line="480" w:lineRule="auto"/>
        <w:ind w:firstLine="720"/>
      </w:pPr>
      <w:r w:rsidRPr="00704ABF">
        <w:t>There are five components of the income statement. One of the components is revenue which refers to the money that a company receives from selling its products. For example, in 2018 alone Amazon is reported to have generated a revenue of $72.4 bill</w:t>
      </w:r>
      <w:r w:rsidR="00704ABF" w:rsidRPr="00704ABF">
        <w:t>ion</w:t>
      </w:r>
      <w:sdt>
        <w:sdtPr>
          <w:id w:val="-980236733"/>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Another component is the number of goods sold which refers to the direct cost incurred by the company in producing the goods it’s selling. For example, as of 2019, the cost of goods sold by </w:t>
      </w:r>
      <w:r w:rsidRPr="00704ABF">
        <w:rPr>
          <w:rStyle w:val="Emphasis"/>
          <w:bCs/>
          <w:i w:val="0"/>
        </w:rPr>
        <w:t>Apple stood at</w:t>
      </w:r>
      <w:r w:rsidRPr="00704ABF">
        <w:rPr>
          <w:rStyle w:val="Emphasis"/>
          <w:bCs/>
        </w:rPr>
        <w:t> </w:t>
      </w:r>
      <w:r w:rsidR="00704ABF" w:rsidRPr="00704ABF">
        <w:t>$161782 Million</w:t>
      </w:r>
      <w:sdt>
        <w:sdtPr>
          <w:id w:val="-1844766534"/>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Gross profit is another component and it refers to total revenue received less the cost of goods sold. For example, the gross profit margin of Apple Company between the years of 2014 to 2018 is</w:t>
      </w:r>
      <w:r w:rsidR="00704ABF" w:rsidRPr="00704ABF">
        <w:t xml:space="preserve"> reported to be 38.9%</w:t>
      </w:r>
      <w:sdt>
        <w:sdtPr>
          <w:id w:val="-953470021"/>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The fourth component is the operating expenses which comprise the amount of money that a company spends to maintain and operate genera</w:t>
      </w:r>
      <w:r w:rsidR="00704ABF" w:rsidRPr="00704ABF">
        <w:t>l business activities</w:t>
      </w:r>
      <w:sdt>
        <w:sdtPr>
          <w:id w:val="-1310312776"/>
          <w:citation/>
        </w:sdtPr>
        <w:sdtEndPr/>
        <w:sdtContent>
          <w:r w:rsidR="00704ABF" w:rsidRPr="00704ABF">
            <w:fldChar w:fldCharType="begin"/>
          </w:r>
          <w:r w:rsidR="00704ABF" w:rsidRPr="00704ABF">
            <w:instrText xml:space="preserve"> CITATION Smi17 \l 1033 </w:instrText>
          </w:r>
          <w:r w:rsidR="00704ABF" w:rsidRPr="00704ABF">
            <w:fldChar w:fldCharType="separate"/>
          </w:r>
          <w:r w:rsidR="00704ABF" w:rsidRPr="00704ABF">
            <w:rPr>
              <w:noProof/>
            </w:rPr>
            <w:t xml:space="preserve"> (Smith, 2017)</w:t>
          </w:r>
          <w:r w:rsidR="00704ABF" w:rsidRPr="00704ABF">
            <w:fldChar w:fldCharType="end"/>
          </w:r>
        </w:sdtContent>
      </w:sdt>
      <w:r w:rsidRPr="00704ABF">
        <w:t xml:space="preserve">. For example, for the fiscal year ending 2015 to 2019, Apple Company’s operating expenses were reported to $167.9(REFERENCE). The last component is operating Income which refers to total revenues less operating expenses and cost of </w:t>
      </w:r>
      <w:r w:rsidRPr="00704ABF">
        <w:lastRenderedPageBreak/>
        <w:t>goods sold. For example, Apple’s operating income between the months of July to September 2019 was reported to be $15,625 million</w:t>
      </w:r>
      <w:sdt>
        <w:sdtPr>
          <w:id w:val="-343319437"/>
          <w:citation/>
        </w:sdtPr>
        <w:sdtEndPr/>
        <w:sdtContent>
          <w:r w:rsidRPr="00704ABF">
            <w:fldChar w:fldCharType="begin"/>
          </w:r>
          <w:r w:rsidRPr="00704ABF">
            <w:instrText xml:space="preserve"> CITATION McC171 \l 1033 </w:instrText>
          </w:r>
          <w:r w:rsidRPr="00704ABF">
            <w:fldChar w:fldCharType="separate"/>
          </w:r>
          <w:r w:rsidRPr="00704ABF">
            <w:rPr>
              <w:noProof/>
            </w:rPr>
            <w:t xml:space="preserve"> (McCall , 2017)</w:t>
          </w:r>
          <w:r w:rsidRPr="00704ABF">
            <w:fldChar w:fldCharType="end"/>
          </w:r>
        </w:sdtContent>
      </w:sdt>
      <w:r w:rsidRPr="00704ABF">
        <w:t>. </w:t>
      </w:r>
    </w:p>
    <w:p w:rsidR="00704ABF" w:rsidRPr="00131497"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 xml:space="preserve">Highlight what you feel are the four most important accounting methods used for the development of this statement </w:t>
      </w:r>
    </w:p>
    <w:p w:rsidR="007D2006" w:rsidRPr="00704ABF" w:rsidRDefault="007D2006" w:rsidP="00704ABF">
      <w:pPr>
        <w:pStyle w:val="NormalWeb"/>
        <w:spacing w:before="0" w:beforeAutospacing="0" w:after="0" w:afterAutospacing="0" w:line="480" w:lineRule="auto"/>
      </w:pPr>
      <w:r w:rsidRPr="00704ABF">
        <w:t>One of the accounting methods that are very important in the development of the income statement is activity-based costing which uses the resource usage of the activities to assign a cost to those activities</w:t>
      </w:r>
      <w:sdt>
        <w:sdtPr>
          <w:id w:val="-574052097"/>
          <w:citation/>
        </w:sdtPr>
        <w:sdtEndPr/>
        <w:sdtContent>
          <w:r w:rsidRPr="00704ABF">
            <w:fldChar w:fldCharType="begin"/>
          </w:r>
          <w:r w:rsidRPr="00704ABF">
            <w:instrText xml:space="preserve"> CITATION Kah20 \l 1033 </w:instrText>
          </w:r>
          <w:r w:rsidRPr="00704ABF">
            <w:fldChar w:fldCharType="separate"/>
          </w:r>
          <w:r w:rsidRPr="00704ABF">
            <w:rPr>
              <w:noProof/>
            </w:rPr>
            <w:t xml:space="preserve"> (Kahn &amp; Baum, 2020)</w:t>
          </w:r>
          <w:r w:rsidRPr="00704ABF">
            <w:fldChar w:fldCharType="end"/>
          </w:r>
        </w:sdtContent>
      </w:sdt>
      <w:r w:rsidRPr="00704ABF">
        <w:t>. This is important in the development of income statement because through assigning a cost to different activities that a company is carrying out, it’s easy to calculate the operating cost. Since operating cost is one of the components of the income statement, this method is therefore important in the development of income statements. Another method is the cost-benefit analysis which compares the cost of the strategy of a given business with its expected results</w:t>
      </w:r>
      <w:sdt>
        <w:sdtPr>
          <w:id w:val="-1569179036"/>
          <w:citation/>
        </w:sdtPr>
        <w:sdtEndPr/>
        <w:sdtContent>
          <w:r w:rsidRPr="00704ABF">
            <w:fldChar w:fldCharType="begin"/>
          </w:r>
          <w:r w:rsidRPr="00704ABF">
            <w:instrText xml:space="preserve"> CITATION DiT17 \l 1033 </w:instrText>
          </w:r>
          <w:r w:rsidRPr="00704ABF">
            <w:fldChar w:fldCharType="separate"/>
          </w:r>
          <w:r w:rsidRPr="00704ABF">
            <w:rPr>
              <w:noProof/>
            </w:rPr>
            <w:t xml:space="preserve"> (Di Tella , 2017)</w:t>
          </w:r>
          <w:r w:rsidRPr="00704ABF">
            <w:fldChar w:fldCharType="end"/>
          </w:r>
        </w:sdtContent>
      </w:sdt>
      <w:r w:rsidRPr="00704ABF">
        <w:t>. This is important because the result of the strategies of a company determines its revenue which is the main component of the income statement. Another method is demand forecasting which predicts the demand for a given product or a service in the market</w:t>
      </w:r>
      <w:sdt>
        <w:sdtPr>
          <w:id w:val="-1328202778"/>
          <w:citation/>
        </w:sdtPr>
        <w:sdtEndPr/>
        <w:sdtContent>
          <w:r w:rsidRPr="00704ABF">
            <w:fldChar w:fldCharType="begin"/>
          </w:r>
          <w:r w:rsidRPr="00704ABF">
            <w:instrText xml:space="preserve"> CITATION Smi17 \l 1033 </w:instrText>
          </w:r>
          <w:r w:rsidRPr="00704ABF">
            <w:fldChar w:fldCharType="separate"/>
          </w:r>
          <w:r w:rsidRPr="00704ABF">
            <w:rPr>
              <w:noProof/>
            </w:rPr>
            <w:t xml:space="preserve"> (Smith, 2017)</w:t>
          </w:r>
          <w:r w:rsidRPr="00704ABF">
            <w:fldChar w:fldCharType="end"/>
          </w:r>
        </w:sdtContent>
      </w:sdt>
      <w:r w:rsidRPr="00704ABF">
        <w:t xml:space="preserve">. This is important because it helps that business estimate its gross profit which is calculated by subtracting the cost of producing a product from the money received from selling that product. Gross profit is one of the main components of the income statement which means that the demand forecasting method is an important accounting method in the development of income statements. The fourth accounting method is lifecycle cost analysis which is the process of evaluating the costs over the life of an asset. This is important because it helps the company identify the assets that have appreciated in value and those that have depreciated in value. The company will then focus on increasing its revenue by focusing much attention on the production of those products that have appreciated in value. Revenue being the </w:t>
      </w:r>
      <w:r w:rsidRPr="00704ABF">
        <w:lastRenderedPageBreak/>
        <w:t>component of the income statement means that the lifecycle cost accounting method is important in the development of the income statement. </w:t>
      </w:r>
    </w:p>
    <w:p w:rsidR="00704ABF" w:rsidRPr="00704ABF" w:rsidRDefault="00704ABF" w:rsidP="00704ABF">
      <w:pPr>
        <w:pStyle w:val="NormalWeb"/>
        <w:spacing w:before="0" w:beforeAutospacing="0" w:after="0" w:afterAutospacing="0" w:line="480" w:lineRule="auto"/>
      </w:pPr>
    </w:p>
    <w:p w:rsidR="00704ABF" w:rsidRPr="00131497"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Review the Penman (2007) article and describe the nature of the research questions and the primary conclusions advanced</w:t>
      </w:r>
    </w:p>
    <w:p w:rsidR="007D2006" w:rsidRPr="00704ABF" w:rsidRDefault="007D2006" w:rsidP="00704ABF">
      <w:pPr>
        <w:pStyle w:val="NormalWeb"/>
        <w:spacing w:before="0" w:beforeAutospacing="0" w:after="0" w:afterAutospacing="0" w:line="480" w:lineRule="auto"/>
        <w:ind w:firstLine="720"/>
      </w:pPr>
      <w:r w:rsidRPr="00704ABF">
        <w:t>The nature of the research questions in this research is comparative. Comparative research questions aim to compare the outcome of two or more variables. In the research provided, the research seeks to find if fair value is a plus or a minus by comparing the instances when the fair value is a plus and when it’s a minus. This research concludes by stating that fair value accounting at a conceptual level is a fair value. This is so because, at this level, there is no further analysis since the equity value is read from the balance sheet. However, the implementation of terms is challenging regardless of the significance</w:t>
      </w:r>
      <w:sdt>
        <w:sdtPr>
          <w:id w:val="843984234"/>
          <w:citation/>
        </w:sdtPr>
        <w:sdtEndPr/>
        <w:sdtContent>
          <w:r w:rsidRPr="00704ABF">
            <w:fldChar w:fldCharType="begin"/>
          </w:r>
          <w:r w:rsidRPr="00704ABF">
            <w:instrText xml:space="preserve"> CITATION Sun18 \l 1033 </w:instrText>
          </w:r>
          <w:r w:rsidRPr="00704ABF">
            <w:fldChar w:fldCharType="separate"/>
          </w:r>
          <w:r w:rsidRPr="00704ABF">
            <w:rPr>
              <w:noProof/>
            </w:rPr>
            <w:t xml:space="preserve"> (Sunder, Sunder &amp; Zhang, 2018)</w:t>
          </w:r>
          <w:r w:rsidRPr="00704ABF">
            <w:fldChar w:fldCharType="end"/>
          </w:r>
        </w:sdtContent>
      </w:sdt>
      <w:r w:rsidRPr="00704ABF">
        <w:t>. The minuses are known to add with the fair value which is defined as the exit price. This is so because, for both valuation and stewardship, fair value accounting works well. This situation is said to be instructive because is the situation where one to one relationship between the shareholder's fair value and the exit prices holds. However, when the assets whose value comes from the execution of a business plan of the company rather than from the fluctuations in market prices, the one to one relationship described above fails even when the exit prices are observed in active markets.  </w:t>
      </w:r>
    </w:p>
    <w:p w:rsidR="00F717D3" w:rsidRDefault="00F717D3" w:rsidP="00704ABF">
      <w:pPr>
        <w:spacing w:line="480" w:lineRule="auto"/>
        <w:rPr>
          <w:rFonts w:ascii="Times New Roman" w:hAnsi="Times New Roman" w:cs="Times New Roman"/>
          <w:sz w:val="24"/>
          <w:szCs w:val="24"/>
        </w:rPr>
      </w:pPr>
    </w:p>
    <w:p w:rsidR="00131497" w:rsidRDefault="00131497" w:rsidP="00704ABF">
      <w:pPr>
        <w:spacing w:line="480" w:lineRule="auto"/>
        <w:rPr>
          <w:rFonts w:ascii="Times New Roman" w:hAnsi="Times New Roman" w:cs="Times New Roman"/>
          <w:sz w:val="24"/>
          <w:szCs w:val="24"/>
        </w:rPr>
      </w:pPr>
    </w:p>
    <w:p w:rsidR="00131497" w:rsidRPr="00704ABF" w:rsidRDefault="00131497" w:rsidP="00704ABF">
      <w:pPr>
        <w:spacing w:line="480" w:lineRule="auto"/>
        <w:rPr>
          <w:rFonts w:ascii="Times New Roman" w:hAnsi="Times New Roman" w:cs="Times New Roman"/>
          <w:sz w:val="24"/>
          <w:szCs w:val="24"/>
        </w:rPr>
      </w:pPr>
    </w:p>
    <w:p w:rsidR="007D2006" w:rsidRPr="00704ABF" w:rsidRDefault="007D2006" w:rsidP="00704ABF">
      <w:pPr>
        <w:spacing w:line="480" w:lineRule="auto"/>
        <w:jc w:val="center"/>
        <w:rPr>
          <w:rFonts w:ascii="Times New Roman" w:hAnsi="Times New Roman" w:cs="Times New Roman"/>
          <w:sz w:val="24"/>
          <w:szCs w:val="24"/>
        </w:rPr>
      </w:pPr>
      <w:r w:rsidRPr="00704ABF">
        <w:rPr>
          <w:rFonts w:ascii="Times New Roman" w:hAnsi="Times New Roman" w:cs="Times New Roman"/>
          <w:sz w:val="24"/>
          <w:szCs w:val="24"/>
        </w:rPr>
        <w:lastRenderedPageBreak/>
        <w:t xml:space="preserve">Reference </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 xml:space="preserve">Di </w:t>
      </w:r>
      <w:proofErr w:type="spellStart"/>
      <w:r w:rsidRPr="00704ABF">
        <w:rPr>
          <w:rFonts w:ascii="Times New Roman" w:hAnsi="Times New Roman" w:cs="Times New Roman"/>
          <w:sz w:val="24"/>
          <w:szCs w:val="24"/>
          <w:shd w:val="clear" w:color="auto" w:fill="FFFFFF"/>
        </w:rPr>
        <w:t>Tella</w:t>
      </w:r>
      <w:proofErr w:type="spellEnd"/>
      <w:r w:rsidRPr="00704ABF">
        <w:rPr>
          <w:rFonts w:ascii="Times New Roman" w:hAnsi="Times New Roman" w:cs="Times New Roman"/>
          <w:sz w:val="24"/>
          <w:szCs w:val="24"/>
          <w:shd w:val="clear" w:color="auto" w:fill="FFFFFF"/>
        </w:rPr>
        <w:t xml:space="preserve">, S. (2017). </w:t>
      </w:r>
      <w:proofErr w:type="gramStart"/>
      <w:r w:rsidRPr="00704ABF">
        <w:rPr>
          <w:rFonts w:ascii="Times New Roman" w:hAnsi="Times New Roman" w:cs="Times New Roman"/>
          <w:sz w:val="24"/>
          <w:szCs w:val="24"/>
          <w:shd w:val="clear" w:color="auto" w:fill="FFFFFF"/>
        </w:rPr>
        <w:t>Uncertainty shocks and balance sheet recessions.</w:t>
      </w:r>
      <w:proofErr w:type="gramEnd"/>
      <w:r w:rsidRPr="00704ABF">
        <w:rPr>
          <w:rFonts w:ascii="Times New Roman" w:hAnsi="Times New Roman" w:cs="Times New Roman"/>
          <w:sz w:val="24"/>
          <w:szCs w:val="24"/>
          <w:shd w:val="clear" w:color="auto" w:fill="FFFFFF"/>
        </w:rPr>
        <w:t> </w:t>
      </w:r>
      <w:r w:rsidRPr="00704ABF">
        <w:rPr>
          <w:rFonts w:ascii="Times New Roman" w:hAnsi="Times New Roman" w:cs="Times New Roman"/>
          <w:i/>
          <w:iCs/>
          <w:sz w:val="24"/>
          <w:szCs w:val="24"/>
          <w:shd w:val="clear" w:color="auto" w:fill="FFFFFF"/>
        </w:rPr>
        <w:t>Journal of Political Economy</w:t>
      </w:r>
      <w:r w:rsidRPr="00704ABF">
        <w:rPr>
          <w:rFonts w:ascii="Times New Roman" w:hAnsi="Times New Roman" w:cs="Times New Roman"/>
          <w:sz w:val="24"/>
          <w:szCs w:val="24"/>
          <w:shd w:val="clear" w:color="auto" w:fill="FFFFFF"/>
        </w:rPr>
        <w:t>, </w:t>
      </w:r>
      <w:r w:rsidRPr="00704ABF">
        <w:rPr>
          <w:rFonts w:ascii="Times New Roman" w:hAnsi="Times New Roman" w:cs="Times New Roman"/>
          <w:i/>
          <w:iCs/>
          <w:sz w:val="24"/>
          <w:szCs w:val="24"/>
          <w:shd w:val="clear" w:color="auto" w:fill="FFFFFF"/>
        </w:rPr>
        <w:t>125</w:t>
      </w:r>
      <w:r w:rsidRPr="00704ABF">
        <w:rPr>
          <w:rFonts w:ascii="Times New Roman" w:hAnsi="Times New Roman" w:cs="Times New Roman"/>
          <w:sz w:val="24"/>
          <w:szCs w:val="24"/>
          <w:shd w:val="clear" w:color="auto" w:fill="FFFFFF"/>
        </w:rPr>
        <w:t>(6), 2038-2081.</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proofErr w:type="gramStart"/>
      <w:r w:rsidRPr="00704ABF">
        <w:rPr>
          <w:rFonts w:ascii="Times New Roman" w:hAnsi="Times New Roman" w:cs="Times New Roman"/>
          <w:sz w:val="24"/>
          <w:szCs w:val="24"/>
          <w:shd w:val="clear" w:color="auto" w:fill="FFFFFF"/>
        </w:rPr>
        <w:t>Kahn, M. J., &amp; Baum, N. (2020).</w:t>
      </w:r>
      <w:proofErr w:type="gramEnd"/>
      <w:r w:rsidRPr="00704ABF">
        <w:rPr>
          <w:rFonts w:ascii="Times New Roman" w:hAnsi="Times New Roman" w:cs="Times New Roman"/>
          <w:sz w:val="24"/>
          <w:szCs w:val="24"/>
          <w:shd w:val="clear" w:color="auto" w:fill="FFFFFF"/>
        </w:rPr>
        <w:t xml:space="preserve"> </w:t>
      </w:r>
      <w:proofErr w:type="gramStart"/>
      <w:r w:rsidRPr="00704ABF">
        <w:rPr>
          <w:rFonts w:ascii="Times New Roman" w:hAnsi="Times New Roman" w:cs="Times New Roman"/>
          <w:sz w:val="24"/>
          <w:szCs w:val="24"/>
          <w:shd w:val="clear" w:color="auto" w:fill="FFFFFF"/>
        </w:rPr>
        <w:t>Basic Accounting and Interpretation of Financial Statements.</w:t>
      </w:r>
      <w:proofErr w:type="gramEnd"/>
      <w:r w:rsidRPr="00704ABF">
        <w:rPr>
          <w:rFonts w:ascii="Times New Roman" w:hAnsi="Times New Roman" w:cs="Times New Roman"/>
          <w:sz w:val="24"/>
          <w:szCs w:val="24"/>
          <w:shd w:val="clear" w:color="auto" w:fill="FFFFFF"/>
        </w:rPr>
        <w:t xml:space="preserve"> In </w:t>
      </w:r>
      <w:r w:rsidRPr="00704ABF">
        <w:rPr>
          <w:rFonts w:ascii="Times New Roman" w:hAnsi="Times New Roman" w:cs="Times New Roman"/>
          <w:i/>
          <w:iCs/>
          <w:sz w:val="24"/>
          <w:szCs w:val="24"/>
          <w:shd w:val="clear" w:color="auto" w:fill="FFFFFF"/>
        </w:rPr>
        <w:t>The Business Basics of Building and Managing a Healthcare Practice</w:t>
      </w:r>
      <w:r w:rsidRPr="00704ABF">
        <w:rPr>
          <w:rFonts w:ascii="Times New Roman" w:hAnsi="Times New Roman" w:cs="Times New Roman"/>
          <w:sz w:val="24"/>
          <w:szCs w:val="24"/>
          <w:shd w:val="clear" w:color="auto" w:fill="FFFFFF"/>
        </w:rPr>
        <w:t xml:space="preserve"> (pp. 13-18). </w:t>
      </w:r>
      <w:proofErr w:type="gramStart"/>
      <w:r w:rsidRPr="00704ABF">
        <w:rPr>
          <w:rFonts w:ascii="Times New Roman" w:hAnsi="Times New Roman" w:cs="Times New Roman"/>
          <w:sz w:val="24"/>
          <w:szCs w:val="24"/>
          <w:shd w:val="clear" w:color="auto" w:fill="FFFFFF"/>
        </w:rPr>
        <w:t>Springer, Cham.</w:t>
      </w:r>
      <w:proofErr w:type="gramEnd"/>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McCall, N. C. (2017). </w:t>
      </w:r>
      <w:r w:rsidRPr="00704ABF">
        <w:rPr>
          <w:rFonts w:ascii="Times New Roman" w:hAnsi="Times New Roman" w:cs="Times New Roman"/>
          <w:i/>
          <w:iCs/>
          <w:sz w:val="24"/>
          <w:szCs w:val="24"/>
          <w:shd w:val="clear" w:color="auto" w:fill="FFFFFF"/>
        </w:rPr>
        <w:t>Financial Reporting: An Analysis of Accounting Methods and Principles</w:t>
      </w:r>
      <w:r w:rsidRPr="00704ABF">
        <w:rPr>
          <w:rFonts w:ascii="Times New Roman" w:hAnsi="Times New Roman" w:cs="Times New Roman"/>
          <w:sz w:val="24"/>
          <w:szCs w:val="24"/>
          <w:shd w:val="clear" w:color="auto" w:fill="FFFFFF"/>
        </w:rPr>
        <w:t> (Doctoral dissertation, The University of Mississippi).</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 xml:space="preserve">Sunder, J., Sunder, S. V., &amp; Zhang, J. (2018). </w:t>
      </w:r>
      <w:proofErr w:type="gramStart"/>
      <w:r w:rsidRPr="00704ABF">
        <w:rPr>
          <w:rFonts w:ascii="Times New Roman" w:hAnsi="Times New Roman" w:cs="Times New Roman"/>
          <w:sz w:val="24"/>
          <w:szCs w:val="24"/>
          <w:shd w:val="clear" w:color="auto" w:fill="FFFFFF"/>
        </w:rPr>
        <w:t>Balance sheet conservatism and debt contracting.</w:t>
      </w:r>
      <w:proofErr w:type="gramEnd"/>
      <w:r w:rsidRPr="00704ABF">
        <w:rPr>
          <w:rFonts w:ascii="Times New Roman" w:hAnsi="Times New Roman" w:cs="Times New Roman"/>
          <w:sz w:val="24"/>
          <w:szCs w:val="24"/>
          <w:shd w:val="clear" w:color="auto" w:fill="FFFFFF"/>
        </w:rPr>
        <w:t> </w:t>
      </w:r>
      <w:r w:rsidRPr="00704ABF">
        <w:rPr>
          <w:rFonts w:ascii="Times New Roman" w:hAnsi="Times New Roman" w:cs="Times New Roman"/>
          <w:i/>
          <w:iCs/>
          <w:sz w:val="24"/>
          <w:szCs w:val="24"/>
          <w:shd w:val="clear" w:color="auto" w:fill="FFFFFF"/>
        </w:rPr>
        <w:t>Contemporary Accounting Research</w:t>
      </w:r>
      <w:r w:rsidRPr="00704ABF">
        <w:rPr>
          <w:rFonts w:ascii="Times New Roman" w:hAnsi="Times New Roman" w:cs="Times New Roman"/>
          <w:sz w:val="24"/>
          <w:szCs w:val="24"/>
          <w:shd w:val="clear" w:color="auto" w:fill="FFFFFF"/>
        </w:rPr>
        <w:t>, </w:t>
      </w:r>
      <w:r w:rsidRPr="00704ABF">
        <w:rPr>
          <w:rFonts w:ascii="Times New Roman" w:hAnsi="Times New Roman" w:cs="Times New Roman"/>
          <w:i/>
          <w:iCs/>
          <w:sz w:val="24"/>
          <w:szCs w:val="24"/>
          <w:shd w:val="clear" w:color="auto" w:fill="FFFFFF"/>
        </w:rPr>
        <w:t>35</w:t>
      </w:r>
      <w:r w:rsidRPr="00704ABF">
        <w:rPr>
          <w:rFonts w:ascii="Times New Roman" w:hAnsi="Times New Roman" w:cs="Times New Roman"/>
          <w:sz w:val="24"/>
          <w:szCs w:val="24"/>
          <w:shd w:val="clear" w:color="auto" w:fill="FFFFFF"/>
        </w:rPr>
        <w:t>(1), 494-524.</w:t>
      </w:r>
    </w:p>
    <w:p w:rsidR="007D2006" w:rsidRPr="00704ABF" w:rsidRDefault="007D2006" w:rsidP="00131497">
      <w:pPr>
        <w:spacing w:line="480" w:lineRule="auto"/>
        <w:ind w:left="720" w:hanging="720"/>
        <w:rPr>
          <w:rFonts w:ascii="Times New Roman" w:hAnsi="Times New Roman" w:cs="Times New Roman"/>
          <w:sz w:val="24"/>
          <w:szCs w:val="24"/>
        </w:rPr>
      </w:pPr>
      <w:proofErr w:type="gramStart"/>
      <w:r w:rsidRPr="00704ABF">
        <w:rPr>
          <w:rFonts w:ascii="Times New Roman" w:hAnsi="Times New Roman" w:cs="Times New Roman"/>
          <w:sz w:val="24"/>
          <w:szCs w:val="24"/>
          <w:shd w:val="clear" w:color="auto" w:fill="FFFFFF"/>
        </w:rPr>
        <w:t>Smith, M. (2019).</w:t>
      </w:r>
      <w:proofErr w:type="gramEnd"/>
      <w:r w:rsidRPr="00704ABF">
        <w:rPr>
          <w:rFonts w:ascii="Times New Roman" w:hAnsi="Times New Roman" w:cs="Times New Roman"/>
          <w:sz w:val="24"/>
          <w:szCs w:val="24"/>
          <w:shd w:val="clear" w:color="auto" w:fill="FFFFFF"/>
        </w:rPr>
        <w:t> </w:t>
      </w:r>
      <w:proofErr w:type="gramStart"/>
      <w:r w:rsidRPr="00704ABF">
        <w:rPr>
          <w:rFonts w:ascii="Times New Roman" w:hAnsi="Times New Roman" w:cs="Times New Roman"/>
          <w:i/>
          <w:iCs/>
          <w:sz w:val="24"/>
          <w:szCs w:val="24"/>
          <w:shd w:val="clear" w:color="auto" w:fill="FFFFFF"/>
        </w:rPr>
        <w:t>Research methods in accounting</w:t>
      </w:r>
      <w:r w:rsidRPr="00704ABF">
        <w:rPr>
          <w:rFonts w:ascii="Times New Roman" w:hAnsi="Times New Roman" w:cs="Times New Roman"/>
          <w:sz w:val="24"/>
          <w:szCs w:val="24"/>
          <w:shd w:val="clear" w:color="auto" w:fill="FFFFFF"/>
        </w:rPr>
        <w:t>.</w:t>
      </w:r>
      <w:proofErr w:type="gramEnd"/>
      <w:r w:rsidRPr="00704ABF">
        <w:rPr>
          <w:rFonts w:ascii="Times New Roman" w:hAnsi="Times New Roman" w:cs="Times New Roman"/>
          <w:sz w:val="24"/>
          <w:szCs w:val="24"/>
          <w:shd w:val="clear" w:color="auto" w:fill="FFFFFF"/>
        </w:rPr>
        <w:t xml:space="preserve"> SAGE Publications Limited.</w:t>
      </w:r>
    </w:p>
    <w:p w:rsidR="007D2006" w:rsidRPr="00704ABF" w:rsidRDefault="007D2006" w:rsidP="00131497">
      <w:pPr>
        <w:spacing w:line="480" w:lineRule="auto"/>
        <w:ind w:left="720" w:hanging="720"/>
        <w:jc w:val="center"/>
        <w:rPr>
          <w:rFonts w:ascii="Times New Roman" w:hAnsi="Times New Roman" w:cs="Times New Roman"/>
          <w:sz w:val="24"/>
          <w:szCs w:val="24"/>
        </w:rPr>
      </w:pPr>
    </w:p>
    <w:sectPr w:rsidR="007D2006" w:rsidRPr="00704ABF" w:rsidSect="0013149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239" w:rsidRDefault="00440239" w:rsidP="00131497">
      <w:pPr>
        <w:spacing w:after="0" w:line="240" w:lineRule="auto"/>
      </w:pPr>
      <w:r>
        <w:separator/>
      </w:r>
    </w:p>
  </w:endnote>
  <w:endnote w:type="continuationSeparator" w:id="0">
    <w:p w:rsidR="00440239" w:rsidRDefault="00440239" w:rsidP="00131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239" w:rsidRDefault="00440239" w:rsidP="00131497">
      <w:pPr>
        <w:spacing w:after="0" w:line="240" w:lineRule="auto"/>
      </w:pPr>
      <w:r>
        <w:separator/>
      </w:r>
    </w:p>
  </w:footnote>
  <w:footnote w:type="continuationSeparator" w:id="0">
    <w:p w:rsidR="00440239" w:rsidRDefault="00440239" w:rsidP="00131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97" w:rsidRPr="00131497" w:rsidRDefault="00131497">
    <w:pPr>
      <w:pStyle w:val="Header"/>
      <w:rPr>
        <w:rFonts w:ascii="Times New Roman" w:hAnsi="Times New Roman" w:cs="Times New Roman"/>
        <w:sz w:val="24"/>
        <w:szCs w:val="24"/>
      </w:rPr>
    </w:pPr>
    <w:r w:rsidRPr="00131497">
      <w:rPr>
        <w:rFonts w:ascii="Times New Roman" w:hAnsi="Times New Roman" w:cs="Times New Roman"/>
        <w:sz w:val="24"/>
        <w:szCs w:val="24"/>
      </w:rPr>
      <w:t>FINANCIAL STATEMENT</w:t>
    </w:r>
    <w:r w:rsidRPr="00131497">
      <w:rPr>
        <w:rFonts w:ascii="Times New Roman" w:hAnsi="Times New Roman" w:cs="Times New Roman"/>
        <w:sz w:val="24"/>
        <w:szCs w:val="24"/>
      </w:rPr>
      <w:tab/>
    </w:r>
    <w:r w:rsidRPr="00131497">
      <w:rPr>
        <w:rFonts w:ascii="Times New Roman" w:hAnsi="Times New Roman" w:cs="Times New Roman"/>
        <w:sz w:val="24"/>
        <w:szCs w:val="24"/>
      </w:rPr>
      <w:tab/>
    </w:r>
    <w:sdt>
      <w:sdtPr>
        <w:rPr>
          <w:rFonts w:ascii="Times New Roman" w:hAnsi="Times New Roman" w:cs="Times New Roman"/>
          <w:sz w:val="24"/>
          <w:szCs w:val="24"/>
        </w:rPr>
        <w:id w:val="1062828989"/>
        <w:docPartObj>
          <w:docPartGallery w:val="Page Numbers (Top of Page)"/>
          <w:docPartUnique/>
        </w:docPartObj>
      </w:sdtPr>
      <w:sdtEndPr>
        <w:rPr>
          <w:noProof/>
        </w:rPr>
      </w:sdtEndPr>
      <w:sdtContent>
        <w:r w:rsidRPr="00131497">
          <w:rPr>
            <w:rFonts w:ascii="Times New Roman" w:hAnsi="Times New Roman" w:cs="Times New Roman"/>
            <w:sz w:val="24"/>
            <w:szCs w:val="24"/>
          </w:rPr>
          <w:fldChar w:fldCharType="begin"/>
        </w:r>
        <w:r w:rsidRPr="00131497">
          <w:rPr>
            <w:rFonts w:ascii="Times New Roman" w:hAnsi="Times New Roman" w:cs="Times New Roman"/>
            <w:sz w:val="24"/>
            <w:szCs w:val="24"/>
          </w:rPr>
          <w:instrText xml:space="preserve"> PAGE   \* MERGEFORMAT </w:instrText>
        </w:r>
        <w:r w:rsidRPr="00131497">
          <w:rPr>
            <w:rFonts w:ascii="Times New Roman" w:hAnsi="Times New Roman" w:cs="Times New Roman"/>
            <w:sz w:val="24"/>
            <w:szCs w:val="24"/>
          </w:rPr>
          <w:fldChar w:fldCharType="separate"/>
        </w:r>
        <w:r w:rsidR="0086257A">
          <w:rPr>
            <w:rFonts w:ascii="Times New Roman" w:hAnsi="Times New Roman" w:cs="Times New Roman"/>
            <w:noProof/>
            <w:sz w:val="24"/>
            <w:szCs w:val="24"/>
          </w:rPr>
          <w:t>2</w:t>
        </w:r>
        <w:r w:rsidRPr="00131497">
          <w:rPr>
            <w:rFonts w:ascii="Times New Roman" w:hAnsi="Times New Roman" w:cs="Times New Roman"/>
            <w:noProof/>
            <w:sz w:val="24"/>
            <w:szCs w:val="24"/>
          </w:rPr>
          <w:fldChar w:fldCharType="end"/>
        </w:r>
      </w:sdtContent>
    </w:sdt>
  </w:p>
  <w:p w:rsidR="00131497" w:rsidRPr="00131497" w:rsidRDefault="001314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97" w:rsidRPr="00131497" w:rsidRDefault="00131497" w:rsidP="00131497">
    <w:pPr>
      <w:pStyle w:val="Header"/>
      <w:spacing w:line="480" w:lineRule="auto"/>
      <w:rPr>
        <w:rFonts w:ascii="Times New Roman" w:hAnsi="Times New Roman" w:cs="Times New Roman"/>
        <w:sz w:val="24"/>
        <w:szCs w:val="24"/>
      </w:rPr>
    </w:pPr>
    <w:r w:rsidRPr="00131497">
      <w:rPr>
        <w:rFonts w:ascii="Times New Roman" w:hAnsi="Times New Roman" w:cs="Times New Roman"/>
        <w:sz w:val="24"/>
        <w:szCs w:val="24"/>
      </w:rPr>
      <w:t>Running head: FINANCIAL STATEMENT</w:t>
    </w:r>
    <w:r w:rsidRPr="00131497">
      <w:rPr>
        <w:rFonts w:ascii="Times New Roman" w:hAnsi="Times New Roman" w:cs="Times New Roman"/>
        <w:sz w:val="24"/>
        <w:szCs w:val="24"/>
      </w:rPr>
      <w:tab/>
    </w:r>
    <w:r w:rsidRPr="00131497">
      <w:rPr>
        <w:rFonts w:ascii="Times New Roman" w:hAnsi="Times New Roman" w:cs="Times New Roman"/>
        <w:sz w:val="24"/>
        <w:szCs w:val="24"/>
      </w:rPr>
      <w:tab/>
    </w:r>
    <w:sdt>
      <w:sdtPr>
        <w:rPr>
          <w:rFonts w:ascii="Times New Roman" w:hAnsi="Times New Roman" w:cs="Times New Roman"/>
          <w:sz w:val="24"/>
          <w:szCs w:val="24"/>
        </w:rPr>
        <w:id w:val="-428585408"/>
        <w:docPartObj>
          <w:docPartGallery w:val="Page Numbers (Top of Page)"/>
          <w:docPartUnique/>
        </w:docPartObj>
      </w:sdtPr>
      <w:sdtEndPr>
        <w:rPr>
          <w:noProof/>
        </w:rPr>
      </w:sdtEndPr>
      <w:sdtContent>
        <w:r w:rsidRPr="00131497">
          <w:rPr>
            <w:rFonts w:ascii="Times New Roman" w:hAnsi="Times New Roman" w:cs="Times New Roman"/>
            <w:sz w:val="24"/>
            <w:szCs w:val="24"/>
          </w:rPr>
          <w:fldChar w:fldCharType="begin"/>
        </w:r>
        <w:r w:rsidRPr="00131497">
          <w:rPr>
            <w:rFonts w:ascii="Times New Roman" w:hAnsi="Times New Roman" w:cs="Times New Roman"/>
            <w:sz w:val="24"/>
            <w:szCs w:val="24"/>
          </w:rPr>
          <w:instrText xml:space="preserve"> PAGE   \* MERGEFORMAT </w:instrText>
        </w:r>
        <w:r w:rsidRPr="00131497">
          <w:rPr>
            <w:rFonts w:ascii="Times New Roman" w:hAnsi="Times New Roman" w:cs="Times New Roman"/>
            <w:sz w:val="24"/>
            <w:szCs w:val="24"/>
          </w:rPr>
          <w:fldChar w:fldCharType="separate"/>
        </w:r>
        <w:r w:rsidR="0086257A">
          <w:rPr>
            <w:rFonts w:ascii="Times New Roman" w:hAnsi="Times New Roman" w:cs="Times New Roman"/>
            <w:noProof/>
            <w:sz w:val="24"/>
            <w:szCs w:val="24"/>
          </w:rPr>
          <w:t>1</w:t>
        </w:r>
        <w:r w:rsidRPr="00131497">
          <w:rPr>
            <w:rFonts w:ascii="Times New Roman" w:hAnsi="Times New Roman" w:cs="Times New Roman"/>
            <w:noProof/>
            <w:sz w:val="24"/>
            <w:szCs w:val="24"/>
          </w:rPr>
          <w:fldChar w:fldCharType="end"/>
        </w:r>
      </w:sdtContent>
    </w:sdt>
  </w:p>
  <w:p w:rsidR="00131497" w:rsidRPr="00131497" w:rsidRDefault="00131497" w:rsidP="0013149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91E5D"/>
    <w:multiLevelType w:val="hybridMultilevel"/>
    <w:tmpl w:val="C8340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006"/>
    <w:rsid w:val="00131497"/>
    <w:rsid w:val="00440239"/>
    <w:rsid w:val="00704ABF"/>
    <w:rsid w:val="00745D9D"/>
    <w:rsid w:val="007D2006"/>
    <w:rsid w:val="0086257A"/>
    <w:rsid w:val="00F71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0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2006"/>
    <w:rPr>
      <w:b/>
      <w:bCs/>
    </w:rPr>
  </w:style>
  <w:style w:type="character" w:styleId="Emphasis">
    <w:name w:val="Emphasis"/>
    <w:basedOn w:val="DefaultParagraphFont"/>
    <w:uiPriority w:val="20"/>
    <w:qFormat/>
    <w:rsid w:val="007D2006"/>
    <w:rPr>
      <w:i/>
      <w:iCs/>
    </w:rPr>
  </w:style>
  <w:style w:type="table" w:styleId="TableGrid">
    <w:name w:val="Table Grid"/>
    <w:basedOn w:val="TableNormal"/>
    <w:uiPriority w:val="39"/>
    <w:rsid w:val="007D20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4ABF"/>
    <w:pPr>
      <w:ind w:left="720"/>
      <w:contextualSpacing/>
    </w:pPr>
  </w:style>
  <w:style w:type="paragraph" w:styleId="Header">
    <w:name w:val="header"/>
    <w:basedOn w:val="Normal"/>
    <w:link w:val="HeaderChar"/>
    <w:uiPriority w:val="99"/>
    <w:unhideWhenUsed/>
    <w:rsid w:val="00131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497"/>
  </w:style>
  <w:style w:type="paragraph" w:styleId="Footer">
    <w:name w:val="footer"/>
    <w:basedOn w:val="Normal"/>
    <w:link w:val="FooterChar"/>
    <w:uiPriority w:val="99"/>
    <w:unhideWhenUsed/>
    <w:rsid w:val="00131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497"/>
  </w:style>
  <w:style w:type="paragraph" w:styleId="BalloonText">
    <w:name w:val="Balloon Text"/>
    <w:basedOn w:val="Normal"/>
    <w:link w:val="BalloonTextChar"/>
    <w:uiPriority w:val="99"/>
    <w:semiHidden/>
    <w:unhideWhenUsed/>
    <w:rsid w:val="00862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5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0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2006"/>
    <w:rPr>
      <w:b/>
      <w:bCs/>
    </w:rPr>
  </w:style>
  <w:style w:type="character" w:styleId="Emphasis">
    <w:name w:val="Emphasis"/>
    <w:basedOn w:val="DefaultParagraphFont"/>
    <w:uiPriority w:val="20"/>
    <w:qFormat/>
    <w:rsid w:val="007D2006"/>
    <w:rPr>
      <w:i/>
      <w:iCs/>
    </w:rPr>
  </w:style>
  <w:style w:type="table" w:styleId="TableGrid">
    <w:name w:val="Table Grid"/>
    <w:basedOn w:val="TableNormal"/>
    <w:uiPriority w:val="39"/>
    <w:rsid w:val="007D20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4ABF"/>
    <w:pPr>
      <w:ind w:left="720"/>
      <w:contextualSpacing/>
    </w:pPr>
  </w:style>
  <w:style w:type="paragraph" w:styleId="Header">
    <w:name w:val="header"/>
    <w:basedOn w:val="Normal"/>
    <w:link w:val="HeaderChar"/>
    <w:uiPriority w:val="99"/>
    <w:unhideWhenUsed/>
    <w:rsid w:val="00131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497"/>
  </w:style>
  <w:style w:type="paragraph" w:styleId="Footer">
    <w:name w:val="footer"/>
    <w:basedOn w:val="Normal"/>
    <w:link w:val="FooterChar"/>
    <w:uiPriority w:val="99"/>
    <w:unhideWhenUsed/>
    <w:rsid w:val="00131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497"/>
  </w:style>
  <w:style w:type="paragraph" w:styleId="BalloonText">
    <w:name w:val="Balloon Text"/>
    <w:basedOn w:val="Normal"/>
    <w:link w:val="BalloonTextChar"/>
    <w:uiPriority w:val="99"/>
    <w:semiHidden/>
    <w:unhideWhenUsed/>
    <w:rsid w:val="00862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5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56006">
      <w:bodyDiv w:val="1"/>
      <w:marLeft w:val="0"/>
      <w:marRight w:val="0"/>
      <w:marTop w:val="0"/>
      <w:marBottom w:val="0"/>
      <w:divBdr>
        <w:top w:val="none" w:sz="0" w:space="0" w:color="auto"/>
        <w:left w:val="none" w:sz="0" w:space="0" w:color="auto"/>
        <w:bottom w:val="none" w:sz="0" w:space="0" w:color="auto"/>
        <w:right w:val="none" w:sz="0" w:space="0" w:color="auto"/>
      </w:divBdr>
    </w:div>
    <w:div w:id="152962771">
      <w:bodyDiv w:val="1"/>
      <w:marLeft w:val="0"/>
      <w:marRight w:val="0"/>
      <w:marTop w:val="0"/>
      <w:marBottom w:val="0"/>
      <w:divBdr>
        <w:top w:val="none" w:sz="0" w:space="0" w:color="auto"/>
        <w:left w:val="none" w:sz="0" w:space="0" w:color="auto"/>
        <w:bottom w:val="none" w:sz="0" w:space="0" w:color="auto"/>
        <w:right w:val="none" w:sz="0" w:space="0" w:color="auto"/>
      </w:divBdr>
    </w:div>
    <w:div w:id="223875443">
      <w:bodyDiv w:val="1"/>
      <w:marLeft w:val="0"/>
      <w:marRight w:val="0"/>
      <w:marTop w:val="0"/>
      <w:marBottom w:val="0"/>
      <w:divBdr>
        <w:top w:val="none" w:sz="0" w:space="0" w:color="auto"/>
        <w:left w:val="none" w:sz="0" w:space="0" w:color="auto"/>
        <w:bottom w:val="none" w:sz="0" w:space="0" w:color="auto"/>
        <w:right w:val="none" w:sz="0" w:space="0" w:color="auto"/>
      </w:divBdr>
    </w:div>
    <w:div w:id="332493721">
      <w:bodyDiv w:val="1"/>
      <w:marLeft w:val="0"/>
      <w:marRight w:val="0"/>
      <w:marTop w:val="0"/>
      <w:marBottom w:val="0"/>
      <w:divBdr>
        <w:top w:val="none" w:sz="0" w:space="0" w:color="auto"/>
        <w:left w:val="none" w:sz="0" w:space="0" w:color="auto"/>
        <w:bottom w:val="none" w:sz="0" w:space="0" w:color="auto"/>
        <w:right w:val="none" w:sz="0" w:space="0" w:color="auto"/>
      </w:divBdr>
    </w:div>
    <w:div w:id="615067873">
      <w:bodyDiv w:val="1"/>
      <w:marLeft w:val="0"/>
      <w:marRight w:val="0"/>
      <w:marTop w:val="0"/>
      <w:marBottom w:val="0"/>
      <w:divBdr>
        <w:top w:val="none" w:sz="0" w:space="0" w:color="auto"/>
        <w:left w:val="none" w:sz="0" w:space="0" w:color="auto"/>
        <w:bottom w:val="none" w:sz="0" w:space="0" w:color="auto"/>
        <w:right w:val="none" w:sz="0" w:space="0" w:color="auto"/>
      </w:divBdr>
    </w:div>
    <w:div w:id="675693270">
      <w:bodyDiv w:val="1"/>
      <w:marLeft w:val="0"/>
      <w:marRight w:val="0"/>
      <w:marTop w:val="0"/>
      <w:marBottom w:val="0"/>
      <w:divBdr>
        <w:top w:val="none" w:sz="0" w:space="0" w:color="auto"/>
        <w:left w:val="none" w:sz="0" w:space="0" w:color="auto"/>
        <w:bottom w:val="none" w:sz="0" w:space="0" w:color="auto"/>
        <w:right w:val="none" w:sz="0" w:space="0" w:color="auto"/>
      </w:divBdr>
    </w:div>
    <w:div w:id="840658180">
      <w:bodyDiv w:val="1"/>
      <w:marLeft w:val="0"/>
      <w:marRight w:val="0"/>
      <w:marTop w:val="0"/>
      <w:marBottom w:val="0"/>
      <w:divBdr>
        <w:top w:val="none" w:sz="0" w:space="0" w:color="auto"/>
        <w:left w:val="none" w:sz="0" w:space="0" w:color="auto"/>
        <w:bottom w:val="none" w:sz="0" w:space="0" w:color="auto"/>
        <w:right w:val="none" w:sz="0" w:space="0" w:color="auto"/>
      </w:divBdr>
    </w:div>
    <w:div w:id="841240659">
      <w:bodyDiv w:val="1"/>
      <w:marLeft w:val="0"/>
      <w:marRight w:val="0"/>
      <w:marTop w:val="0"/>
      <w:marBottom w:val="0"/>
      <w:divBdr>
        <w:top w:val="none" w:sz="0" w:space="0" w:color="auto"/>
        <w:left w:val="none" w:sz="0" w:space="0" w:color="auto"/>
        <w:bottom w:val="none" w:sz="0" w:space="0" w:color="auto"/>
        <w:right w:val="none" w:sz="0" w:space="0" w:color="auto"/>
      </w:divBdr>
    </w:div>
    <w:div w:id="915016357">
      <w:bodyDiv w:val="1"/>
      <w:marLeft w:val="0"/>
      <w:marRight w:val="0"/>
      <w:marTop w:val="0"/>
      <w:marBottom w:val="0"/>
      <w:divBdr>
        <w:top w:val="none" w:sz="0" w:space="0" w:color="auto"/>
        <w:left w:val="none" w:sz="0" w:space="0" w:color="auto"/>
        <w:bottom w:val="none" w:sz="0" w:space="0" w:color="auto"/>
        <w:right w:val="none" w:sz="0" w:space="0" w:color="auto"/>
      </w:divBdr>
    </w:div>
    <w:div w:id="958334994">
      <w:bodyDiv w:val="1"/>
      <w:marLeft w:val="0"/>
      <w:marRight w:val="0"/>
      <w:marTop w:val="0"/>
      <w:marBottom w:val="0"/>
      <w:divBdr>
        <w:top w:val="none" w:sz="0" w:space="0" w:color="auto"/>
        <w:left w:val="none" w:sz="0" w:space="0" w:color="auto"/>
        <w:bottom w:val="none" w:sz="0" w:space="0" w:color="auto"/>
        <w:right w:val="none" w:sz="0" w:space="0" w:color="auto"/>
      </w:divBdr>
    </w:div>
    <w:div w:id="982657608">
      <w:bodyDiv w:val="1"/>
      <w:marLeft w:val="0"/>
      <w:marRight w:val="0"/>
      <w:marTop w:val="0"/>
      <w:marBottom w:val="0"/>
      <w:divBdr>
        <w:top w:val="none" w:sz="0" w:space="0" w:color="auto"/>
        <w:left w:val="none" w:sz="0" w:space="0" w:color="auto"/>
        <w:bottom w:val="none" w:sz="0" w:space="0" w:color="auto"/>
        <w:right w:val="none" w:sz="0" w:space="0" w:color="auto"/>
      </w:divBdr>
    </w:div>
    <w:div w:id="1100562069">
      <w:bodyDiv w:val="1"/>
      <w:marLeft w:val="0"/>
      <w:marRight w:val="0"/>
      <w:marTop w:val="0"/>
      <w:marBottom w:val="0"/>
      <w:divBdr>
        <w:top w:val="none" w:sz="0" w:space="0" w:color="auto"/>
        <w:left w:val="none" w:sz="0" w:space="0" w:color="auto"/>
        <w:bottom w:val="none" w:sz="0" w:space="0" w:color="auto"/>
        <w:right w:val="none" w:sz="0" w:space="0" w:color="auto"/>
      </w:divBdr>
    </w:div>
    <w:div w:id="1196623231">
      <w:bodyDiv w:val="1"/>
      <w:marLeft w:val="0"/>
      <w:marRight w:val="0"/>
      <w:marTop w:val="0"/>
      <w:marBottom w:val="0"/>
      <w:divBdr>
        <w:top w:val="none" w:sz="0" w:space="0" w:color="auto"/>
        <w:left w:val="none" w:sz="0" w:space="0" w:color="auto"/>
        <w:bottom w:val="none" w:sz="0" w:space="0" w:color="auto"/>
        <w:right w:val="none" w:sz="0" w:space="0" w:color="auto"/>
      </w:divBdr>
    </w:div>
    <w:div w:id="1222523266">
      <w:bodyDiv w:val="1"/>
      <w:marLeft w:val="0"/>
      <w:marRight w:val="0"/>
      <w:marTop w:val="0"/>
      <w:marBottom w:val="0"/>
      <w:divBdr>
        <w:top w:val="none" w:sz="0" w:space="0" w:color="auto"/>
        <w:left w:val="none" w:sz="0" w:space="0" w:color="auto"/>
        <w:bottom w:val="none" w:sz="0" w:space="0" w:color="auto"/>
        <w:right w:val="none" w:sz="0" w:space="0" w:color="auto"/>
      </w:divBdr>
    </w:div>
    <w:div w:id="1237201082">
      <w:bodyDiv w:val="1"/>
      <w:marLeft w:val="0"/>
      <w:marRight w:val="0"/>
      <w:marTop w:val="0"/>
      <w:marBottom w:val="0"/>
      <w:divBdr>
        <w:top w:val="none" w:sz="0" w:space="0" w:color="auto"/>
        <w:left w:val="none" w:sz="0" w:space="0" w:color="auto"/>
        <w:bottom w:val="none" w:sz="0" w:space="0" w:color="auto"/>
        <w:right w:val="none" w:sz="0" w:space="0" w:color="auto"/>
      </w:divBdr>
    </w:div>
    <w:div w:id="1361785672">
      <w:bodyDiv w:val="1"/>
      <w:marLeft w:val="0"/>
      <w:marRight w:val="0"/>
      <w:marTop w:val="0"/>
      <w:marBottom w:val="0"/>
      <w:divBdr>
        <w:top w:val="none" w:sz="0" w:space="0" w:color="auto"/>
        <w:left w:val="none" w:sz="0" w:space="0" w:color="auto"/>
        <w:bottom w:val="none" w:sz="0" w:space="0" w:color="auto"/>
        <w:right w:val="none" w:sz="0" w:space="0" w:color="auto"/>
      </w:divBdr>
    </w:div>
    <w:div w:id="1483112105">
      <w:bodyDiv w:val="1"/>
      <w:marLeft w:val="0"/>
      <w:marRight w:val="0"/>
      <w:marTop w:val="0"/>
      <w:marBottom w:val="0"/>
      <w:divBdr>
        <w:top w:val="none" w:sz="0" w:space="0" w:color="auto"/>
        <w:left w:val="none" w:sz="0" w:space="0" w:color="auto"/>
        <w:bottom w:val="none" w:sz="0" w:space="0" w:color="auto"/>
        <w:right w:val="none" w:sz="0" w:space="0" w:color="auto"/>
      </w:divBdr>
    </w:div>
    <w:div w:id="1650330502">
      <w:bodyDiv w:val="1"/>
      <w:marLeft w:val="0"/>
      <w:marRight w:val="0"/>
      <w:marTop w:val="0"/>
      <w:marBottom w:val="0"/>
      <w:divBdr>
        <w:top w:val="none" w:sz="0" w:space="0" w:color="auto"/>
        <w:left w:val="none" w:sz="0" w:space="0" w:color="auto"/>
        <w:bottom w:val="none" w:sz="0" w:space="0" w:color="auto"/>
        <w:right w:val="none" w:sz="0" w:space="0" w:color="auto"/>
      </w:divBdr>
    </w:div>
    <w:div w:id="1782645971">
      <w:bodyDiv w:val="1"/>
      <w:marLeft w:val="0"/>
      <w:marRight w:val="0"/>
      <w:marTop w:val="0"/>
      <w:marBottom w:val="0"/>
      <w:divBdr>
        <w:top w:val="none" w:sz="0" w:space="0" w:color="auto"/>
        <w:left w:val="none" w:sz="0" w:space="0" w:color="auto"/>
        <w:bottom w:val="none" w:sz="0" w:space="0" w:color="auto"/>
        <w:right w:val="none" w:sz="0" w:space="0" w:color="auto"/>
      </w:divBdr>
    </w:div>
    <w:div w:id="1891108366">
      <w:bodyDiv w:val="1"/>
      <w:marLeft w:val="0"/>
      <w:marRight w:val="0"/>
      <w:marTop w:val="0"/>
      <w:marBottom w:val="0"/>
      <w:divBdr>
        <w:top w:val="none" w:sz="0" w:space="0" w:color="auto"/>
        <w:left w:val="none" w:sz="0" w:space="0" w:color="auto"/>
        <w:bottom w:val="none" w:sz="0" w:space="0" w:color="auto"/>
        <w:right w:val="none" w:sz="0" w:space="0" w:color="auto"/>
      </w:divBdr>
    </w:div>
    <w:div w:id="1893078370">
      <w:bodyDiv w:val="1"/>
      <w:marLeft w:val="0"/>
      <w:marRight w:val="0"/>
      <w:marTop w:val="0"/>
      <w:marBottom w:val="0"/>
      <w:divBdr>
        <w:top w:val="none" w:sz="0" w:space="0" w:color="auto"/>
        <w:left w:val="none" w:sz="0" w:space="0" w:color="auto"/>
        <w:bottom w:val="none" w:sz="0" w:space="0" w:color="auto"/>
        <w:right w:val="none" w:sz="0" w:space="0" w:color="auto"/>
      </w:divBdr>
    </w:div>
    <w:div w:id="19347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DiT17</b:Tag>
    <b:SourceType>JournalArticle</b:SourceType>
    <b:Guid>{599E6F73-BEA7-4C40-B4EB-E658725A49F1}</b:Guid>
    <b:Title>Di Tella </b:Title>
    <b:Year>2017</b:Year>
    <b:RefOrder>1</b:RefOrder>
  </b:Source>
  <b:Source>
    <b:Tag>Kah20</b:Tag>
    <b:SourceType>JournalArticle</b:SourceType>
    <b:Guid>{F78789D5-A661-48CB-AAC0-FBC0487FECF6}</b:Guid>
    <b:Title>Kahn &amp; Baum</b:Title>
    <b:Year>2020</b:Year>
    <b:RefOrder>2</b:RefOrder>
  </b:Source>
  <b:Source>
    <b:Tag>McC171</b:Tag>
    <b:SourceType>JournalArticle</b:SourceType>
    <b:Guid>{662AA2E1-746B-4D09-9745-B19719A85478}</b:Guid>
    <b:Title>McCall </b:Title>
    <b:Year>2017</b:Year>
    <b:RefOrder>3</b:RefOrder>
  </b:Source>
  <b:Source>
    <b:Tag>Sun18</b:Tag>
    <b:SourceType>JournalArticle</b:SourceType>
    <b:Guid>{42092D37-DAD1-4F7E-AC40-FE41A0FC58CA}</b:Guid>
    <b:Title>Sunder, Sunder &amp; Zhang</b:Title>
    <b:Year>2018</b:Year>
    <b:RefOrder>4</b:RefOrder>
  </b:Source>
  <b:Source>
    <b:Tag>Smi17</b:Tag>
    <b:SourceType>JournalArticle</b:SourceType>
    <b:Guid>{949A75F3-7B06-47B2-BFE8-ED22028108C6}</b:Guid>
    <b:Title>Smith</b:Title>
    <b:Year>2017</b:Year>
    <b:RefOrder>5</b:RefOrder>
  </b:Source>
</b:Sources>
</file>

<file path=customXml/itemProps1.xml><?xml version="1.0" encoding="utf-8"?>
<ds:datastoreItem xmlns:ds="http://schemas.openxmlformats.org/officeDocument/2006/customXml" ds:itemID="{AF0FBC1F-6A29-4BC1-A789-FA6A80908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1803</Words>
  <Characters>10280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2020-01-15T20:08:00Z</dcterms:created>
  <dcterms:modified xsi:type="dcterms:W3CDTF">2020-01-15T20:08:00Z</dcterms:modified>
</cp:coreProperties>
</file>